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7B7FAA" w:rsidTr="007B7FA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032253">
              <w:rPr>
                <w:rFonts w:ascii="Times New Roman" w:hAnsi="Times New Roman"/>
                <w:b w:val="0"/>
                <w:sz w:val="20"/>
              </w:rPr>
              <w:t xml:space="preserve">                Баш</w:t>
            </w:r>
            <w:r>
              <w:rPr>
                <w:rFonts w:ascii="Times New Roman" w:hAnsi="Times New Roman"/>
                <w:b w:val="0"/>
                <w:sz w:val="20"/>
              </w:rPr>
              <w:t>к</w:t>
            </w:r>
            <w:r w:rsidRPr="00032253">
              <w:rPr>
                <w:rFonts w:ascii="Times New Roman" w:hAnsi="Times New Roman"/>
                <w:b w:val="0"/>
                <w:sz w:val="20"/>
              </w:rPr>
              <w:t>ортостан Республи</w:t>
            </w:r>
            <w:r>
              <w:rPr>
                <w:rFonts w:ascii="Times New Roman" w:hAnsi="Times New Roman"/>
                <w:b w:val="0"/>
                <w:sz w:val="20"/>
              </w:rPr>
              <w:t>к</w:t>
            </w:r>
            <w:r w:rsidRPr="00032253">
              <w:rPr>
                <w:rFonts w:ascii="Times New Roman" w:hAnsi="Times New Roman"/>
                <w:b w:val="0"/>
                <w:sz w:val="20"/>
              </w:rPr>
              <w:t>аһы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Бишбүләк районы муниципаль районы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20"/>
                <w:lang w:val="be-BY"/>
              </w:rPr>
              <w:t>Калинин   ауыл Советы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20"/>
                <w:lang w:val="be-BY"/>
              </w:rPr>
              <w:t>ауыл  биләмәһе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32253">
              <w:rPr>
                <w:rFonts w:ascii="Times New Roman" w:eastAsia="Times New Roman" w:hAnsi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7" o:title=""/>
                </v:shape>
                <o:OLEObject Type="Embed" ProgID="Word.Picture.8" ShapeID="_x0000_i1025" DrawAspect="Content" ObjectID="_1680501266" r:id="rId8"/>
              </w:objec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Республика Башкортостан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Калининский  сельсовет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7B7FAA" w:rsidRDefault="007B7FAA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714E40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714E40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Калининский сельсовет муниципального района </w:t>
      </w:r>
    </w:p>
    <w:p w:rsidR="00224E3A" w:rsidRDefault="00714E40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5C13B1" w:rsidRDefault="00714E40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 и на плановый период 2022 и 2023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 w:val="0"/>
          <w:sz w:val="28"/>
          <w:szCs w:val="28"/>
        </w:rPr>
        <w:t>Калининский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209CD">
        <w:rPr>
          <w:rFonts w:ascii="Times New Roman" w:hAnsi="Times New Roman"/>
          <w:sz w:val="28"/>
          <w:szCs w:val="28"/>
        </w:rPr>
        <w:t>3 052,6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209CD">
        <w:rPr>
          <w:rFonts w:ascii="Times New Roman" w:hAnsi="Times New Roman"/>
          <w:sz w:val="28"/>
          <w:szCs w:val="28"/>
        </w:rPr>
        <w:t>3 052,6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2 417,3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2 421,8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2 417,3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2209CD">
        <w:rPr>
          <w:rFonts w:ascii="Times New Roman" w:eastAsia="Times New Roman" w:hAnsi="Times New Roman"/>
          <w:sz w:val="28"/>
          <w:szCs w:val="28"/>
          <w:lang w:eastAsia="ru-RU"/>
        </w:rPr>
        <w:t>57,7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2 421,8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2209CD">
        <w:rPr>
          <w:rFonts w:ascii="Times New Roman" w:eastAsia="Times New Roman" w:hAnsi="Times New Roman"/>
          <w:sz w:val="28"/>
          <w:szCs w:val="28"/>
          <w:lang w:eastAsia="ru-RU"/>
        </w:rPr>
        <w:t>115,4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627C20">
        <w:rPr>
          <w:rFonts w:ascii="Times New Roman" w:hAnsi="Times New Roman"/>
          <w:sz w:val="28"/>
          <w:szCs w:val="28"/>
        </w:rPr>
        <w:t>2023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 w:rsidR="00224E3A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Утвердить перечень главных администраторов источников финансирования дефицита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627C20">
        <w:rPr>
          <w:rFonts w:ascii="Times New Roman" w:hAnsi="Times New Roman"/>
          <w:sz w:val="28"/>
          <w:szCs w:val="28"/>
        </w:rPr>
        <w:t>2021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24E3A">
        <w:rPr>
          <w:rFonts w:ascii="Times New Roman" w:hAnsi="Times New Roman"/>
          <w:sz w:val="28"/>
          <w:szCs w:val="28"/>
        </w:rPr>
        <w:t xml:space="preserve">3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9F539B">
        <w:rPr>
          <w:sz w:val="28"/>
          <w:szCs w:val="28"/>
        </w:rPr>
        <w:t>6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7B7FAA">
        <w:rPr>
          <w:sz w:val="28"/>
          <w:szCs w:val="28"/>
        </w:rPr>
        <w:t>Калининский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627C20">
        <w:rPr>
          <w:sz w:val="28"/>
          <w:szCs w:val="28"/>
        </w:rPr>
        <w:t>2021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2209CD">
        <w:rPr>
          <w:sz w:val="28"/>
          <w:szCs w:val="28"/>
        </w:rPr>
        <w:t>1 805,6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627C2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FB2C23">
        <w:rPr>
          <w:sz w:val="28"/>
          <w:szCs w:val="28"/>
        </w:rPr>
        <w:t>1 132,3</w:t>
      </w:r>
      <w:r w:rsidR="00462358"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627C2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 </w:t>
      </w:r>
      <w:r w:rsidR="00FB2C23">
        <w:rPr>
          <w:sz w:val="28"/>
          <w:szCs w:val="28"/>
        </w:rPr>
        <w:t>1 117,8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9F539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7B7FAA">
        <w:rPr>
          <w:sz w:val="28"/>
          <w:szCs w:val="28"/>
        </w:rPr>
        <w:t>Калининский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9F539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по разделам и подразделам, целевым статьям (муниципальным программам им </w:t>
      </w:r>
      <w:proofErr w:type="spellStart"/>
      <w:r w:rsidR="00224E3A" w:rsidRPr="00A754C9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224E3A" w:rsidRPr="00A754C9">
        <w:rPr>
          <w:rFonts w:ascii="Times New Roman" w:hAnsi="Times New Roman"/>
          <w:bCs/>
          <w:sz w:val="28"/>
          <w:szCs w:val="28"/>
        </w:rPr>
        <w:t xml:space="preserve"> направлениям деятельности) и группам видов расходов  классификации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627C20">
        <w:rPr>
          <w:sz w:val="28"/>
          <w:szCs w:val="28"/>
        </w:rPr>
        <w:t>2021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224E3A">
        <w:rPr>
          <w:sz w:val="28"/>
          <w:szCs w:val="28"/>
        </w:rPr>
        <w:t>5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627C20">
        <w:rPr>
          <w:rFonts w:ascii="Times New Roman" w:hAnsi="Times New Roman"/>
          <w:sz w:val="28"/>
          <w:szCs w:val="28"/>
        </w:rPr>
        <w:t>2021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224E3A">
        <w:rPr>
          <w:rFonts w:ascii="Times New Roman" w:hAnsi="Times New Roman"/>
          <w:sz w:val="28"/>
          <w:szCs w:val="28"/>
        </w:rPr>
        <w:t>7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627C20">
        <w:rPr>
          <w:rFonts w:ascii="Times New Roman" w:hAnsi="Times New Roman"/>
          <w:sz w:val="28"/>
          <w:szCs w:val="28"/>
        </w:rPr>
        <w:t>2023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224E3A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627C20">
        <w:rPr>
          <w:rFonts w:ascii="Times New Roman" w:hAnsi="Times New Roman"/>
          <w:sz w:val="28"/>
          <w:szCs w:val="28"/>
          <w:lang w:eastAsia="ru-RU"/>
        </w:rPr>
        <w:t>2021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627C20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27C20">
        <w:rPr>
          <w:rFonts w:ascii="Times New Roman" w:hAnsi="Times New Roman"/>
          <w:sz w:val="28"/>
          <w:szCs w:val="28"/>
          <w:lang w:eastAsia="ru-RU"/>
        </w:rPr>
        <w:t>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</w:t>
      </w:r>
      <w:r w:rsidRPr="00A754C9">
        <w:rPr>
          <w:rFonts w:ascii="Times New Roman" w:hAnsi="Times New Roman"/>
          <w:sz w:val="28"/>
          <w:szCs w:val="28"/>
        </w:rPr>
        <w:lastRenderedPageBreak/>
        <w:t>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</w:t>
      </w:r>
      <w:r w:rsidRPr="00A754C9">
        <w:rPr>
          <w:rFonts w:ascii="Times New Roman" w:hAnsi="Times New Roman"/>
          <w:sz w:val="28"/>
          <w:szCs w:val="28"/>
        </w:rPr>
        <w:lastRenderedPageBreak/>
        <w:t>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627C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627C20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</w:t>
      </w:r>
      <w:r w:rsidRPr="00A754C9">
        <w:rPr>
          <w:rFonts w:ascii="Times New Roman" w:hAnsi="Times New Roman"/>
          <w:sz w:val="28"/>
          <w:szCs w:val="28"/>
        </w:rPr>
        <w:lastRenderedPageBreak/>
        <w:t>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627C20">
        <w:rPr>
          <w:rFonts w:ascii="Times New Roman" w:hAnsi="Times New Roman"/>
          <w:sz w:val="28"/>
          <w:szCs w:val="28"/>
        </w:rPr>
        <w:t>2022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627C2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27C2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627C20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627C20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A1165D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4540" cy="1927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E3A"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358">
        <w:rPr>
          <w:rFonts w:ascii="Times New Roman" w:hAnsi="Times New Roman"/>
          <w:sz w:val="28"/>
          <w:szCs w:val="28"/>
        </w:rPr>
        <w:t>Усак-Кичу</w:t>
      </w:r>
      <w:proofErr w:type="spell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942CC0">
        <w:rPr>
          <w:rFonts w:ascii="Times New Roman" w:hAnsi="Times New Roman"/>
          <w:sz w:val="28"/>
          <w:szCs w:val="28"/>
        </w:rPr>
        <w:t xml:space="preserve"> 23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627C2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942CC0">
        <w:rPr>
          <w:rFonts w:ascii="Times New Roman" w:hAnsi="Times New Roman"/>
          <w:sz w:val="28"/>
          <w:szCs w:val="28"/>
        </w:rPr>
        <w:t xml:space="preserve"> 50\16-28</w:t>
      </w:r>
    </w:p>
    <w:sectPr w:rsidR="00224E3A" w:rsidSect="00330136">
      <w:headerReference w:type="default" r:id="rId10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C1" w:rsidRDefault="00F352C1">
      <w:r>
        <w:separator/>
      </w:r>
    </w:p>
  </w:endnote>
  <w:endnote w:type="continuationSeparator" w:id="0">
    <w:p w:rsidR="00F352C1" w:rsidRDefault="00F3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C1" w:rsidRDefault="00F352C1">
      <w:r>
        <w:separator/>
      </w:r>
    </w:p>
  </w:footnote>
  <w:footnote w:type="continuationSeparator" w:id="0">
    <w:p w:rsidR="00F352C1" w:rsidRDefault="00F35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6F1946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34FB4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A1165D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5CFA"/>
    <w:rsid w:val="000171B7"/>
    <w:rsid w:val="00021E59"/>
    <w:rsid w:val="00022CBE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2A8D"/>
    <w:rsid w:val="001023C0"/>
    <w:rsid w:val="001533DB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09CD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57FB4"/>
    <w:rsid w:val="00462358"/>
    <w:rsid w:val="004833B9"/>
    <w:rsid w:val="004C0437"/>
    <w:rsid w:val="004D1558"/>
    <w:rsid w:val="004E7765"/>
    <w:rsid w:val="004F1AC0"/>
    <w:rsid w:val="00521A4A"/>
    <w:rsid w:val="005257DF"/>
    <w:rsid w:val="00581AEB"/>
    <w:rsid w:val="005B51D6"/>
    <w:rsid w:val="005C3330"/>
    <w:rsid w:val="005D16DC"/>
    <w:rsid w:val="005D23C9"/>
    <w:rsid w:val="005F4745"/>
    <w:rsid w:val="00603E87"/>
    <w:rsid w:val="006232C3"/>
    <w:rsid w:val="006242C0"/>
    <w:rsid w:val="00627C2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6F1946"/>
    <w:rsid w:val="006F7BCE"/>
    <w:rsid w:val="00714E40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B7FAA"/>
    <w:rsid w:val="007C6B43"/>
    <w:rsid w:val="007E2399"/>
    <w:rsid w:val="007F088F"/>
    <w:rsid w:val="007F76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298B"/>
    <w:rsid w:val="00935E75"/>
    <w:rsid w:val="00936B77"/>
    <w:rsid w:val="009425BA"/>
    <w:rsid w:val="00942CC0"/>
    <w:rsid w:val="00943F50"/>
    <w:rsid w:val="00947936"/>
    <w:rsid w:val="0095176D"/>
    <w:rsid w:val="00973FE3"/>
    <w:rsid w:val="009A1E35"/>
    <w:rsid w:val="009B14A3"/>
    <w:rsid w:val="009C78B5"/>
    <w:rsid w:val="009F49BF"/>
    <w:rsid w:val="009F539B"/>
    <w:rsid w:val="00A10174"/>
    <w:rsid w:val="00A1165D"/>
    <w:rsid w:val="00A50579"/>
    <w:rsid w:val="00A536C5"/>
    <w:rsid w:val="00A5672D"/>
    <w:rsid w:val="00A94D24"/>
    <w:rsid w:val="00A96979"/>
    <w:rsid w:val="00AB0B1F"/>
    <w:rsid w:val="00AB208C"/>
    <w:rsid w:val="00AB601E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C012C7"/>
    <w:rsid w:val="00C049D3"/>
    <w:rsid w:val="00C320F3"/>
    <w:rsid w:val="00C32E8B"/>
    <w:rsid w:val="00C33E23"/>
    <w:rsid w:val="00C34B59"/>
    <w:rsid w:val="00C35ACE"/>
    <w:rsid w:val="00C37919"/>
    <w:rsid w:val="00C4132C"/>
    <w:rsid w:val="00C4465F"/>
    <w:rsid w:val="00C45B51"/>
    <w:rsid w:val="00C70CA5"/>
    <w:rsid w:val="00C738F9"/>
    <w:rsid w:val="00C92A14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45F5B"/>
    <w:rsid w:val="00E65203"/>
    <w:rsid w:val="00E72ECD"/>
    <w:rsid w:val="00E732D3"/>
    <w:rsid w:val="00E97497"/>
    <w:rsid w:val="00EA7F4F"/>
    <w:rsid w:val="00EB2DA3"/>
    <w:rsid w:val="00EB3D4E"/>
    <w:rsid w:val="00F02493"/>
    <w:rsid w:val="00F25886"/>
    <w:rsid w:val="00F352C1"/>
    <w:rsid w:val="00F4187B"/>
    <w:rsid w:val="00F42612"/>
    <w:rsid w:val="00F465B1"/>
    <w:rsid w:val="00F50686"/>
    <w:rsid w:val="00F50D5D"/>
    <w:rsid w:val="00F62FB1"/>
    <w:rsid w:val="00F77ED3"/>
    <w:rsid w:val="00F8680E"/>
    <w:rsid w:val="00FA156B"/>
    <w:rsid w:val="00FB2C23"/>
    <w:rsid w:val="00FC27BE"/>
    <w:rsid w:val="00FD4AAE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CD3B-2BA2-42F6-BE15-134C7957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19</cp:revision>
  <cp:lastPrinted>2014-12-25T11:13:00Z</cp:lastPrinted>
  <dcterms:created xsi:type="dcterms:W3CDTF">2013-12-18T05:05:00Z</dcterms:created>
  <dcterms:modified xsi:type="dcterms:W3CDTF">2021-04-21T04:08:00Z</dcterms:modified>
</cp:coreProperties>
</file>